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26" w:rsidRDefault="00277D26">
      <w:pPr>
        <w:rPr>
          <w:rFonts w:hint="eastAsia"/>
          <w:b/>
          <w:sz w:val="24"/>
          <w:szCs w:val="24"/>
        </w:rPr>
      </w:pPr>
      <w:r w:rsidRPr="00277D26">
        <w:rPr>
          <w:rFonts w:hint="eastAsia"/>
          <w:b/>
          <w:sz w:val="24"/>
          <w:szCs w:val="24"/>
        </w:rPr>
        <w:t>독수리예수제자훈련학교 소개</w:t>
      </w:r>
    </w:p>
    <w:p w:rsidR="00277D26" w:rsidRPr="00277D26" w:rsidRDefault="00277D26">
      <w:pPr>
        <w:rPr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21"/>
      </w:tblGrid>
      <w:tr w:rsidR="00277D26" w:rsidRPr="00277D26">
        <w:trPr>
          <w:tblCellSpacing w:w="0" w:type="dxa"/>
        </w:trPr>
        <w:tc>
          <w:tcPr>
            <w:tcW w:w="0" w:type="auto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277D26" w:rsidRPr="00277D26" w:rsidRDefault="00277D26" w:rsidP="00277D26">
            <w:pPr>
              <w:widowControl/>
              <w:wordWrap/>
              <w:autoSpaceDE/>
              <w:autoSpaceDN/>
              <w:spacing w:after="240" w:line="384" w:lineRule="auto"/>
              <w:jc w:val="left"/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</w:pP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독수리예수제자훈련학교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(Eagle Discipleship Training School for Businessman, BEDTS)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는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proofErr w:type="spellStart"/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예수전도단의</w:t>
            </w:r>
            <w:proofErr w:type="spellEnd"/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훈련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프로그램의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하나로서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eastAsia="굴림" w:hAnsi="Verdana" w:cs="굴림" w:hint="eastAsia"/>
                <w:color w:val="333333"/>
                <w:kern w:val="0"/>
                <w:sz w:val="18"/>
                <w:szCs w:val="18"/>
              </w:rPr>
              <w:t>합숙이</w:t>
            </w:r>
            <w:r>
              <w:rPr>
                <w:rFonts w:ascii="Verdana" w:eastAsia="굴림" w:hAnsi="Verdana" w:cs="굴림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eastAsia="굴림" w:hAnsi="Verdana" w:cs="굴림" w:hint="eastAsia"/>
                <w:color w:val="333333"/>
                <w:kern w:val="0"/>
                <w:sz w:val="18"/>
                <w:szCs w:val="18"/>
              </w:rPr>
              <w:t>어려운</w:t>
            </w:r>
            <w:r>
              <w:rPr>
                <w:rFonts w:ascii="Verdana" w:eastAsia="굴림" w:hAnsi="Verdana" w:cs="굴림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직장인과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주부들을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주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대상으로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예수제자훈련프로그램이다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.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br/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br/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이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훈련프로그램은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총</w:t>
            </w:r>
            <w:r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eastAsia="굴림" w:hAnsi="Verdana" w:cs="굴림" w:hint="eastAsia"/>
                <w:color w:val="333333"/>
                <w:kern w:val="0"/>
                <w:sz w:val="18"/>
                <w:szCs w:val="18"/>
              </w:rPr>
              <w:t>1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4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주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과정으로서</w:t>
            </w:r>
            <w:r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, </w:t>
            </w:r>
            <w:r>
              <w:rPr>
                <w:rFonts w:ascii="Verdana" w:eastAsia="굴림" w:hAnsi="Verdana" w:cs="굴림" w:hint="eastAsia"/>
                <w:color w:val="333333"/>
                <w:kern w:val="0"/>
                <w:sz w:val="18"/>
                <w:szCs w:val="18"/>
              </w:rPr>
              <w:t>1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2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주의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강의</w:t>
            </w:r>
            <w:r>
              <w:rPr>
                <w:rFonts w:ascii="Verdana" w:eastAsia="굴림" w:hAnsi="Verdana" w:cs="굴림" w:hint="eastAsia"/>
                <w:color w:val="333333"/>
                <w:kern w:val="0"/>
                <w:sz w:val="18"/>
                <w:szCs w:val="18"/>
              </w:rPr>
              <w:t>와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10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일에서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14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일간의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전도여행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(Outreach)</w:t>
            </w:r>
            <w:proofErr w:type="spellStart"/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으로</w:t>
            </w:r>
            <w:proofErr w:type="spellEnd"/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구성되어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있으며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, 1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주간은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원칙적으로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2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일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출석과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5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일간의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개인별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적용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기간을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두고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있다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.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br/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독수리예수제자훈련학교는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개인의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성품개발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,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하나님과의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관계회복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,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하나님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안에서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자신의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독특한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은사개발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및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하나님의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부르심을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확인하여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거기에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헌신하는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일들을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돕고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 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있다</w:t>
            </w: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 xml:space="preserve">. </w:t>
            </w:r>
          </w:p>
        </w:tc>
      </w:tr>
      <w:tr w:rsidR="00277D26" w:rsidRPr="00277D26">
        <w:trPr>
          <w:tblCellSpacing w:w="0" w:type="dxa"/>
        </w:trPr>
        <w:tc>
          <w:tcPr>
            <w:tcW w:w="0" w:type="auto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6"/>
              <w:gridCol w:w="7040"/>
            </w:tblGrid>
            <w:tr w:rsidR="00277D26" w:rsidRPr="00277D26">
              <w:trPr>
                <w:tblCellSpacing w:w="0" w:type="dxa"/>
              </w:trPr>
              <w:tc>
                <w:tcPr>
                  <w:tcW w:w="1100" w:type="pct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200150" cy="809625"/>
                        <wp:effectExtent l="19050" t="0" r="0" b="0"/>
                        <wp:docPr id="1" name="그림 1" descr="http://www.bedts.org/images/introduction/img_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edts.org/images/introduction/img_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pct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예수께서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나아와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일러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가라사대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하늘과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땅의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모든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권세를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내게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주셨으니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그러므로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너희는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가서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모든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족속으로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제자를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삼아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아버지와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아들과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성령의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이름으로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세례를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주고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내가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너희에게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분부한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모든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것을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가르쳐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지키게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하라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볼지어다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내가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세상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끝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날까지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너희와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항상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함께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있으리라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하시니라</w:t>
                  </w:r>
                  <w:r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”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br/>
                    <w:t>(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마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28:18</w:t>
                  </w:r>
                  <w:r w:rsidRPr="00277D26">
                    <w:rPr>
                      <w:rFonts w:ascii="굴림" w:eastAsia="굴림" w:hAnsi="굴림" w:cs="굴림"/>
                      <w:color w:val="333333"/>
                      <w:kern w:val="0"/>
                      <w:sz w:val="18"/>
                      <w:szCs w:val="18"/>
                    </w:rPr>
                    <w:t>∼</w:t>
                  </w:r>
                  <w:r w:rsidRPr="00277D26">
                    <w:rPr>
                      <w:rFonts w:ascii="Verdana" w:eastAsia="굴림" w:hAnsi="Verdana" w:cs="Verdana"/>
                      <w:color w:val="333333"/>
                      <w:kern w:val="0"/>
                      <w:sz w:val="18"/>
                      <w:szCs w:val="18"/>
                    </w:rPr>
                    <w:t>20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77D26" w:rsidRPr="00277D26" w:rsidRDefault="00277D26" w:rsidP="00277D26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</w:pPr>
          </w:p>
        </w:tc>
      </w:tr>
      <w:tr w:rsidR="00277D26" w:rsidRPr="00277D26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77D26" w:rsidRPr="00277D26" w:rsidRDefault="00277D26" w:rsidP="00277D26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1733550" cy="152400"/>
                  <wp:effectExtent l="19050" t="0" r="0" b="0"/>
                  <wp:docPr id="2" name="그림 2" descr="http://www.bedts.org/images/introduction/t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edts.org/images/introduction/t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D26" w:rsidRPr="00277D26">
        <w:trPr>
          <w:tblCellSpacing w:w="0" w:type="dxa"/>
        </w:trPr>
        <w:tc>
          <w:tcPr>
            <w:tcW w:w="0" w:type="auto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8845"/>
            </w:tblGrid>
            <w:tr w:rsidR="00277D26" w:rsidRPr="00277D26">
              <w:trPr>
                <w:tblCellSpacing w:w="0" w:type="dxa"/>
              </w:trPr>
              <w:tc>
                <w:tcPr>
                  <w:tcW w:w="100" w:type="pct"/>
                  <w:vMerge w:val="restart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center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3" name="그림 3" descr="http://www.bedts.org/images/introduction/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bedts.org/images/introduction/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0" w:type="pct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독수리예수제자훈련학교의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목적은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주님께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헌신된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직장인들을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모아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성경적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원리원칙을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가르치고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진리의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말씀을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그들의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개인적인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삶에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적용케</w:t>
                  </w:r>
                  <w:r w:rsidRPr="00277D26"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함으로써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예수님을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닮은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성품을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개발하고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하나님과의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친밀한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관계를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회복시켜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예수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그리스도의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제자로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무장시키는데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있다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277D26" w:rsidRPr="00277D26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277D26" w:rsidRPr="00277D26">
              <w:trPr>
                <w:tblCellSpacing w:w="0" w:type="dxa"/>
              </w:trPr>
              <w:tc>
                <w:tcPr>
                  <w:tcW w:w="0" w:type="auto"/>
                  <w:vMerge w:val="restart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center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4" name="그림 4" descr="http://www.bedts.org/images/introduction/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bedts.org/images/introduction/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이를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바탕으로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하여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그들이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속한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삶의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현장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(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지역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교회와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직장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, </w:t>
                  </w:r>
                  <w:r w:rsidRPr="00277D26"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가정</w:t>
                  </w:r>
                  <w:r w:rsidRPr="00277D26"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등</w:t>
                  </w:r>
                  <w:r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8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Mind Molders)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에서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영적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영향력을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미치게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하여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,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하나님께서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선교를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위해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주시는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놀라운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특권과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책임에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따라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직업을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가진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전문인으로서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국내외에서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전문인사역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(Tent Maker)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일으키는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것을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주목적으로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한다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277D26" w:rsidRPr="00277D26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277D26" w:rsidRPr="00277D26">
              <w:trPr>
                <w:tblCellSpacing w:w="0" w:type="dxa"/>
              </w:trPr>
              <w:tc>
                <w:tcPr>
                  <w:tcW w:w="0" w:type="auto"/>
                  <w:vMerge w:val="restart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center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5" name="그림 5" descr="http://www.bedts.org/images/introduction/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bedts.org/images/introduction/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자기가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속한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지역교회와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공동체에서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봉사할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있도록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준비시키고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,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섬기는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지역교회에서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이런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훈련과정이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일어나도록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도우며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,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교회가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직접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세계복음화에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효과적으로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앞장설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있도록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돕는다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  <w:tr w:rsidR="00277D26" w:rsidRPr="00277D26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277D26" w:rsidRPr="00277D26">
              <w:trPr>
                <w:tblCellSpacing w:w="0" w:type="dxa"/>
              </w:trPr>
              <w:tc>
                <w:tcPr>
                  <w:tcW w:w="0" w:type="auto"/>
                  <w:vMerge w:val="restart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center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6" name="그림 6" descr="http://www.bedts.org/images/introduction/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bedts.org/images/introduction/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BEDTS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수료한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학생들이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성장해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나갈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있는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배움의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장을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제공함으로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졸업생들이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배우고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확</w:t>
                  </w:r>
                  <w:r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신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일에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견고히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서서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BEDTS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교회와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사회의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각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영역</w:t>
                  </w:r>
                  <w:r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  <w:t>8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MM)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에서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섬기는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지도자의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역할을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감당하는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성경적인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지도자를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양성하는데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목적이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있다</w:t>
                  </w:r>
                  <w:r w:rsidRPr="00277D26"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  <w:t>.</w:t>
                  </w:r>
                </w:p>
                <w:p w:rsid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  <w:p w:rsid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  <w:p w:rsid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  <w:p w:rsid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7D26" w:rsidRPr="00277D26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6"/>
                      <w:szCs w:val="18"/>
                    </w:rPr>
                  </w:pPr>
                </w:p>
              </w:tc>
            </w:tr>
          </w:tbl>
          <w:p w:rsidR="00277D26" w:rsidRPr="00277D26" w:rsidRDefault="00277D26" w:rsidP="00277D2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left"/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</w:pPr>
            <w:r w:rsidRPr="00277D26"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77D26" w:rsidRPr="00277D26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77D26" w:rsidRPr="00277D26" w:rsidRDefault="00277D26" w:rsidP="00277D26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333333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2381250" cy="152400"/>
                  <wp:effectExtent l="19050" t="0" r="0" b="0"/>
                  <wp:docPr id="7" name="그림 7" descr="http://www.bedts.org/images/introduction/t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dts.org/images/introduction/t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D26" w:rsidRPr="00277D26">
        <w:trPr>
          <w:tblCellSpacing w:w="0" w:type="dxa"/>
        </w:trPr>
        <w:tc>
          <w:tcPr>
            <w:tcW w:w="0" w:type="auto"/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8845"/>
            </w:tblGrid>
            <w:tr w:rsidR="00277D26" w:rsidRPr="00277D26">
              <w:trPr>
                <w:trHeight w:val="375"/>
                <w:tblCellSpacing w:w="0" w:type="dxa"/>
              </w:trPr>
              <w:tc>
                <w:tcPr>
                  <w:tcW w:w="100" w:type="pct"/>
                  <w:vMerge w:val="restart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center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8" name="그림 8" descr="http://www.bedts.org/images/introduction/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bedts.org/images/introduction/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0" w:type="pct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</w:pP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훈련의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기반</w:t>
                  </w:r>
                </w:p>
              </w:tc>
            </w:tr>
            <w:tr w:rsidR="00277D26" w:rsidRPr="00277D2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"/>
                    <w:gridCol w:w="8485"/>
                    <w:gridCol w:w="180"/>
                  </w:tblGrid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9" name="그림 9" descr="http://www.bedts.org/images/introduction/b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bedts.org/images/introduction/b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10" name="그림 10" descr="http://www.bedts.org/images/introduction/b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bedts.org/images/introduction/b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77D26" w:rsidRPr="00277D26">
                    <w:trPr>
                      <w:trHeight w:val="1500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center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752975" cy="1781175"/>
                              <wp:effectExtent l="19050" t="0" r="9525" b="0"/>
                              <wp:docPr id="11" name="그림 11" descr="http://www.bedts.org/images/introduction/img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bedts.org/images/introduction/img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52975" cy="178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104775"/>
                              <wp:effectExtent l="19050" t="0" r="0" b="0"/>
                              <wp:docPr id="12" name="그림 12" descr="http://www.bedts.org/images/introduction/b_0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bedts.org/images/introduction/b_0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104775"/>
                              <wp:effectExtent l="19050" t="0" r="0" b="0"/>
                              <wp:docPr id="13" name="그림 13" descr="http://www.bedts.org/images/introduction/b_0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bedts.org/images/introduction/b_0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7D26" w:rsidRPr="00277D26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277D26" w:rsidRPr="00277D26">
              <w:trPr>
                <w:trHeight w:val="375"/>
                <w:tblCellSpacing w:w="0" w:type="dxa"/>
              </w:trPr>
              <w:tc>
                <w:tcPr>
                  <w:tcW w:w="0" w:type="auto"/>
                  <w:vMerge w:val="restart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center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4" name="그림 14" descr="http://www.bedts.org/images/introduction/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bedts.org/images/introduction/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</w:pP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독수리예수제자훈련학교는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다음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6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가지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관계를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주요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훈련내용으로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한다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277D26" w:rsidRPr="00277D2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"/>
                    <w:gridCol w:w="8485"/>
                    <w:gridCol w:w="180"/>
                  </w:tblGrid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15" name="그림 15" descr="http://www.bedts.org/images/introduction/b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bedts.org/images/introduction/b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16" name="그림 16" descr="http://www.bedts.org/images/introduction/b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bedts.org/images/introduction/b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55"/>
                          <w:gridCol w:w="8230"/>
                        </w:tblGrid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(1)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하나님과의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관계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하나님의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성품과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하나님의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사고방식에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대한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이해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하나님의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음성을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듣는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법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하나님의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임재</w:t>
                              </w:r>
                              <w:proofErr w:type="spell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앞에서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경건한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삶을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발전시켜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가는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법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(2)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자신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및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타인과의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관계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개인의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성품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개발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각자에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대한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은사와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사역의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발견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활용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청지기의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삶에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대하여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건전한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인간관계의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정립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용서하는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삶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(3)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말씀과의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관계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말씀과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항상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함께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하는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삶의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습관을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개발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말씀을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묵상하는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삶과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그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말씀을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삶에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적용하는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법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(4)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세상과의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관계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잃어버린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영혼에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대하여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자신의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믿음을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나누는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법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전도와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타문화</w:t>
                              </w:r>
                              <w:proofErr w:type="spell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선교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미전도족속</w:t>
                              </w:r>
                              <w:proofErr w:type="spell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전도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세상이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필요로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하는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것들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성경적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세계관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사회현상들에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대한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복음적인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해석방법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(5)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교회와의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관계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위탁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일치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지역교회와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선교단체의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상호보완에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대한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이해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lastRenderedPageBreak/>
                                <w:t xml:space="preserve">(6)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악한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영과의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</w:rPr>
                                <w:t>관계</w:t>
                              </w:r>
                            </w:p>
                          </w:tc>
                        </w:tr>
                        <w:tr w:rsidR="00277D26" w:rsidRPr="00277D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원수의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정체를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바로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알고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기도와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중보기도로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77D26" w:rsidRPr="00277D26" w:rsidRDefault="00277D26" w:rsidP="00277D2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384" w:lineRule="auto"/>
                                <w:jc w:val="left"/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77D26">
                                <w:rPr>
                                  <w:rFonts w:ascii="Verdana" w:eastAsia="굴림" w:hAnsi="Symbol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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영적</w:t>
                              </w:r>
                              <w:proofErr w:type="gramEnd"/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전쟁</w:t>
                              </w:r>
                              <w:r w:rsidRPr="00277D26">
                                <w:rPr>
                                  <w:rFonts w:ascii="Verdana" w:eastAsia="굴림" w:hAnsi="Verdana" w:cs="굴림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95250" cy="104775"/>
                              <wp:effectExtent l="19050" t="0" r="0" b="0"/>
                              <wp:docPr id="17" name="그림 17" descr="http://www.bedts.org/images/introduction/b_0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bedts.org/images/introduction/b_0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104775"/>
                              <wp:effectExtent l="19050" t="0" r="0" b="0"/>
                              <wp:docPr id="18" name="그림 18" descr="http://www.bedts.org/images/introduction/b_0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bedts.org/images/introduction/b_0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7D26" w:rsidRPr="00277D26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277D26" w:rsidRPr="00277D26">
              <w:trPr>
                <w:trHeight w:val="375"/>
                <w:tblCellSpacing w:w="0" w:type="dxa"/>
              </w:trPr>
              <w:tc>
                <w:tcPr>
                  <w:tcW w:w="0" w:type="auto"/>
                  <w:vMerge w:val="restart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center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333333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9" name="그림 19" descr="http://www.bedts.org/images/introduction/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bedts.org/images/introduction/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</w:pP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이러한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훈련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내용의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효율을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높이기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위해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다음과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같은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과정을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채택하고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 xml:space="preserve"> 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있다</w:t>
                  </w:r>
                  <w:r w:rsidRPr="00277D26">
                    <w:rPr>
                      <w:rFonts w:ascii="Verdana" w:eastAsia="굴림" w:hAnsi="Verdana" w:cs="굴림"/>
                      <w:b/>
                      <w:bCs/>
                      <w:color w:val="344398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  <w:tr w:rsidR="00277D26" w:rsidRPr="00277D2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"/>
                    <w:gridCol w:w="8485"/>
                    <w:gridCol w:w="180"/>
                  </w:tblGrid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20" name="그림 20" descr="http://www.bedts.org/images/introduction/b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bedts.org/images/introduction/b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21" name="그림 21" descr="http://www.bedts.org/images/introduction/b_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bedts.org/images/introduction/b_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성경적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가르침과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훈련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작업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(Work Duty)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독후감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(Book Report)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조별활동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(Flock Meeting)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예배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(Worship)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중보기도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(Intercession)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proofErr w:type="spellStart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애찬식</w:t>
                        </w:r>
                        <w:proofErr w:type="spellEnd"/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(Love Feast)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전도여행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(Outreach)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공동생활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나눔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(Flowing) </w:t>
                        </w:r>
                      </w:p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277D26">
                          <w:rPr>
                            <w:rFonts w:ascii="Verdana" w:eastAsia="굴림" w:hAnsi="Symbol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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>섬김</w:t>
                        </w:r>
                        <w:proofErr w:type="gramEnd"/>
                        <w:r w:rsidRPr="00277D26"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(Hospitality)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77D26" w:rsidRPr="00277D2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Verdana" w:eastAsia="굴림" w:hAnsi="Verdana" w:cs="굴림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굴림" w:hAnsi="Verdana" w:cs="굴림"/>
                            <w:noProof/>
                            <w:color w:val="333333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104775"/>
                              <wp:effectExtent l="19050" t="0" r="0" b="0"/>
                              <wp:docPr id="22" name="그림 22" descr="http://www.bedts.org/images/introduction/b_0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bedts.org/images/introduction/b_0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7D26" w:rsidRPr="00277D26" w:rsidRDefault="00277D26" w:rsidP="00277D2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277D26" w:rsidRPr="00277D26" w:rsidRDefault="00277D26" w:rsidP="00277D26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Verdana" w:eastAsia="굴림" w:hAnsi="Verdana" w:cs="굴림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77D26" w:rsidRPr="00277D26" w:rsidRDefault="00277D26" w:rsidP="00277D26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Verdana" w:eastAsia="굴림" w:hAnsi="Verdana" w:cs="굴림"/>
                <w:color w:val="333333"/>
                <w:kern w:val="0"/>
                <w:sz w:val="18"/>
                <w:szCs w:val="18"/>
              </w:rPr>
            </w:pPr>
          </w:p>
        </w:tc>
      </w:tr>
    </w:tbl>
    <w:p w:rsidR="00A87A50" w:rsidRDefault="00A87A50">
      <w:pPr>
        <w:rPr>
          <w:rFonts w:hint="eastAsia"/>
        </w:rPr>
      </w:pPr>
    </w:p>
    <w:sectPr w:rsidR="00A87A50" w:rsidSect="00A87A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77D26"/>
    <w:rsid w:val="00277D26"/>
    <w:rsid w:val="009A3DA7"/>
    <w:rsid w:val="00A8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7D2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7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77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Company>YWAM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Kim</dc:creator>
  <cp:keywords/>
  <dc:description/>
  <cp:lastModifiedBy>Philip Kim</cp:lastModifiedBy>
  <cp:revision>2</cp:revision>
  <dcterms:created xsi:type="dcterms:W3CDTF">2009-02-06T12:15:00Z</dcterms:created>
  <dcterms:modified xsi:type="dcterms:W3CDTF">2009-02-06T12:15:00Z</dcterms:modified>
</cp:coreProperties>
</file>